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pPr>
      <w:bookmarkStart w:colFirst="0" w:colLast="0" w:name="h.gjdgxs" w:id="0"/>
      <w:bookmarkEnd w:id="0"/>
      <w:r w:rsidDel="00000000" w:rsidR="00000000" w:rsidRPr="00000000">
        <w:rPr>
          <w:b w:val="1"/>
          <w:sz w:val="24"/>
          <w:szCs w:val="24"/>
          <w:rtl w:val="0"/>
        </w:rPr>
        <w:t xml:space="preserve">Sample IP Language from Funder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Intellectual property rights (including copyright and patent rights) should not be used to limit or deny access to the Grant Work Product, to result in exclusive use of such Grant Work Product, or to create revenue that is not used for charitable purposes. While copyright to the Grant Work Product will ordinarily remain with the grantee, the Foundation/Granting Organization will require that it be granted a perpetual non-exclusive, no-cost, assignable license to use or publish the Grant Work Product. The Foundation/Granting Organization will exercise the license only if the grantee does not or cannot provide for broad and prompt dissemination consistent with this Policy. The Foundation/Granting Organization may forego a license if the Foundation is reasonably satisfied that other appropriate arrangements will be implemented that will assure prompt public dissemination of the Grant Work Product.</w:t>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