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after="100" w:before="0" w:line="276" w:lineRule="auto"/>
        <w:contextualSpacing w:val="0"/>
        <w:jc w:val="center"/>
      </w:pPr>
      <w:r w:rsidDel="00000000" w:rsidR="00000000" w:rsidRPr="00000000">
        <w:rPr>
          <w:rtl w:val="0"/>
        </w:rPr>
      </w:r>
    </w:p>
    <w:p w:rsidR="00000000" w:rsidDel="00000000" w:rsidP="00000000" w:rsidRDefault="00000000" w:rsidRPr="00000000">
      <w:pPr>
        <w:widowControl w:val="0"/>
        <w:spacing w:after="100" w:before="0" w:line="276" w:lineRule="auto"/>
        <w:contextualSpacing w:val="0"/>
        <w:jc w:val="center"/>
      </w:pPr>
      <w:r w:rsidDel="00000000" w:rsidR="00000000" w:rsidRPr="00000000">
        <w:rPr>
          <w:rFonts w:ascii="Arial" w:cs="Arial" w:eastAsia="Arial" w:hAnsi="Arial"/>
          <w:b w:val="1"/>
          <w:color w:val="000000"/>
          <w:sz w:val="34"/>
          <w:szCs w:val="34"/>
          <w:rtl w:val="0"/>
        </w:rPr>
        <w:t xml:space="preserve">OPEN ACCESS POLICY</w:t>
      </w:r>
    </w:p>
    <w:p w:rsidR="00000000" w:rsidDel="00000000" w:rsidP="00000000" w:rsidRDefault="00000000" w:rsidRPr="00000000">
      <w:pPr>
        <w:widowControl w:val="0"/>
        <w:spacing w:after="100" w:before="0" w:line="276" w:lineRule="auto"/>
        <w:contextualSpacing w:val="0"/>
        <w:jc w:val="center"/>
      </w:pPr>
      <w:r w:rsidDel="00000000" w:rsidR="00000000" w:rsidRPr="00000000">
        <w:rPr>
          <w:rFonts w:ascii="Arial" w:cs="Arial" w:eastAsia="Arial" w:hAnsi="Arial"/>
          <w:b w:val="1"/>
          <w:color w:val="000000"/>
          <w:sz w:val="34"/>
          <w:szCs w:val="34"/>
          <w:rtl w:val="0"/>
        </w:rPr>
        <w:t xml:space="preserve">Funder</w:t>
      </w:r>
      <w:r w:rsidDel="00000000" w:rsidR="00000000" w:rsidRPr="00000000">
        <w:rPr>
          <w:rtl w:val="0"/>
        </w:rPr>
      </w:r>
    </w:p>
    <w:p w:rsidR="00000000" w:rsidDel="00000000" w:rsidP="00000000" w:rsidRDefault="00000000" w:rsidRPr="00000000">
      <w:pPr>
        <w:widowControl w:val="0"/>
        <w:spacing w:after="100" w:before="0" w:line="276" w:lineRule="auto"/>
        <w:contextualSpacing w:val="0"/>
      </w:pPr>
      <w:r w:rsidDel="00000000" w:rsidR="00000000" w:rsidRPr="00000000">
        <w:rPr>
          <w:rFonts w:ascii="Merriweather Sans" w:cs="Merriweather Sans" w:eastAsia="Merriweather Sans" w:hAnsi="Merriweather Sans"/>
          <w:b w:val="0"/>
          <w:color w:val="453ccc"/>
          <w:sz w:val="24"/>
          <w:szCs w:val="24"/>
          <w:rtl w:val="0"/>
        </w:rPr>
        <w:t xml:space="preserve">[</w:t>
      </w:r>
      <w:r w:rsidDel="00000000" w:rsidR="00000000" w:rsidRPr="00000000">
        <w:rPr>
          <w:rFonts w:ascii="Merriweather Sans" w:cs="Merriweather Sans" w:eastAsia="Merriweather Sans" w:hAnsi="Merriweather Sans"/>
          <w:color w:val="453ccc"/>
          <w:sz w:val="24"/>
          <w:szCs w:val="24"/>
          <w:rtl w:val="0"/>
        </w:rPr>
        <w:t xml:space="preserve">O</w:t>
      </w:r>
      <w:r w:rsidDel="00000000" w:rsidR="00000000" w:rsidRPr="00000000">
        <w:rPr>
          <w:rFonts w:ascii="Merriweather Sans" w:cs="Merriweather Sans" w:eastAsia="Merriweather Sans" w:hAnsi="Merriweather Sans"/>
          <w:b w:val="0"/>
          <w:color w:val="453ccc"/>
          <w:sz w:val="24"/>
          <w:szCs w:val="24"/>
          <w:rtl w:val="0"/>
        </w:rPr>
        <w:t xml:space="preserve">rganization’s name]</w:t>
      </w:r>
      <w:r w:rsidDel="00000000" w:rsidR="00000000" w:rsidRPr="00000000">
        <w:rPr>
          <w:rFonts w:ascii="Arial" w:cs="Arial" w:eastAsia="Arial" w:hAnsi="Arial"/>
          <w:b w:val="0"/>
          <w:color w:val="000000"/>
          <w:sz w:val="22"/>
          <w:szCs w:val="22"/>
          <w:rtl w:val="0"/>
        </w:rPr>
        <w:t xml:space="preserve"> is committed to information sharing and transparency. We believe that published research resulting from our funding should be promptly and broadly disseminated. We have adopted an Open Access policy that enables the unrestricted access and reuse of all peer-reviewed published research funded, in whole or in part, by the foundation, including any underlying data sets.</w:t>
      </w:r>
      <w:r w:rsidDel="00000000" w:rsidR="00000000" w:rsidRPr="00000000">
        <w:rPr>
          <w:rtl w:val="0"/>
        </w:rPr>
      </w:r>
    </w:p>
    <w:p w:rsidR="00000000" w:rsidDel="00000000" w:rsidP="00000000" w:rsidRDefault="00000000" w:rsidRPr="00000000">
      <w:pPr>
        <w:widowControl w:val="0"/>
        <w:spacing w:after="100" w:before="0" w:line="276" w:lineRule="auto"/>
        <w:contextualSpacing w:val="0"/>
      </w:pPr>
      <w:r w:rsidDel="00000000" w:rsidR="00000000" w:rsidRPr="00000000">
        <w:rPr>
          <w:rFonts w:ascii="Arial" w:cs="Arial" w:eastAsia="Arial" w:hAnsi="Arial"/>
          <w:b w:val="0"/>
          <w:color w:val="000000"/>
          <w:sz w:val="22"/>
          <w:szCs w:val="22"/>
          <w:rtl w:val="0"/>
        </w:rPr>
        <w:t xml:space="preserve">As of [Date] our Open Access policy will be effective for all new agreements. During a [X-year] transition period, publishers will be permitted to apply up to a [length of term] embargo period on the accessibility of the publication and its underlying data sets. This embargo period will no longer be allowed after [final effective date].</w:t>
      </w:r>
      <w:r w:rsidDel="00000000" w:rsidR="00000000" w:rsidRPr="00000000">
        <w:rPr>
          <w:rtl w:val="0"/>
        </w:rPr>
      </w:r>
    </w:p>
    <w:p w:rsidR="00000000" w:rsidDel="00000000" w:rsidP="00000000" w:rsidRDefault="00000000" w:rsidRPr="00000000">
      <w:pPr>
        <w:widowControl w:val="0"/>
        <w:spacing w:after="100" w:before="0" w:line="276" w:lineRule="auto"/>
        <w:contextualSpacing w:val="0"/>
      </w:pPr>
      <w:r w:rsidDel="00000000" w:rsidR="00000000" w:rsidRPr="00000000">
        <w:rPr>
          <w:rFonts w:ascii="Arial" w:cs="Arial" w:eastAsia="Arial" w:hAnsi="Arial"/>
          <w:b w:val="0"/>
          <w:color w:val="000000"/>
          <w:sz w:val="22"/>
          <w:szCs w:val="22"/>
          <w:rtl w:val="0"/>
        </w:rPr>
        <w:t xml:space="preserve">Our Open Access policy contains the following elements:</w:t>
      </w:r>
      <w:r w:rsidDel="00000000" w:rsidR="00000000" w:rsidRPr="00000000">
        <w:rPr>
          <w:rtl w:val="0"/>
        </w:rPr>
      </w:r>
    </w:p>
    <w:p w:rsidR="00000000" w:rsidDel="00000000" w:rsidP="00000000" w:rsidRDefault="00000000" w:rsidRPr="00000000">
      <w:pPr>
        <w:widowControl w:val="0"/>
        <w:numPr>
          <w:ilvl w:val="0"/>
          <w:numId w:val="1"/>
        </w:numPr>
        <w:spacing w:after="100" w:before="0" w:line="276" w:lineRule="auto"/>
        <w:ind w:left="720" w:hanging="360"/>
        <w:rPr/>
      </w:pPr>
      <w:r w:rsidDel="00000000" w:rsidR="00000000" w:rsidRPr="00000000">
        <w:rPr>
          <w:rFonts w:ascii="Arial" w:cs="Arial" w:eastAsia="Arial" w:hAnsi="Arial"/>
          <w:b w:val="0"/>
          <w:color w:val="000000"/>
          <w:sz w:val="22"/>
          <w:szCs w:val="22"/>
          <w:rtl w:val="0"/>
        </w:rPr>
        <w:t xml:space="preserve">Publications Are Discoverable and Accessible Online. Publications will be deposited in a specified repository(s) with proper tagging of metadata.</w:t>
      </w:r>
      <w:r w:rsidDel="00000000" w:rsidR="00000000" w:rsidRPr="00000000">
        <w:rPr>
          <w:rtl w:val="0"/>
        </w:rPr>
      </w:r>
    </w:p>
    <w:p w:rsidR="00000000" w:rsidDel="00000000" w:rsidP="00000000" w:rsidRDefault="00000000" w:rsidRPr="00000000">
      <w:pPr>
        <w:widowControl w:val="0"/>
        <w:numPr>
          <w:ilvl w:val="0"/>
          <w:numId w:val="1"/>
        </w:numPr>
        <w:spacing w:after="100" w:before="0" w:line="276" w:lineRule="auto"/>
        <w:ind w:left="720" w:hanging="360"/>
        <w:rPr/>
      </w:pPr>
      <w:r w:rsidDel="00000000" w:rsidR="00000000" w:rsidRPr="00000000">
        <w:rPr>
          <w:rFonts w:ascii="Arial" w:cs="Arial" w:eastAsia="Arial" w:hAnsi="Arial"/>
          <w:b w:val="0"/>
          <w:color w:val="000000"/>
          <w:sz w:val="22"/>
          <w:szCs w:val="22"/>
          <w:rtl w:val="0"/>
        </w:rPr>
        <w:t xml:space="preserve">Publication Will Be On “Open Access” Terms. All publications shall be published under the </w:t>
      </w:r>
      <w:hyperlink r:id="rId5">
        <w:r w:rsidDel="00000000" w:rsidR="00000000" w:rsidRPr="00000000">
          <w:rPr>
            <w:rFonts w:ascii="Arial" w:cs="Arial" w:eastAsia="Arial" w:hAnsi="Arial"/>
            <w:b w:val="0"/>
            <w:color w:val="0000ff"/>
            <w:sz w:val="22"/>
            <w:szCs w:val="22"/>
            <w:u w:val="single"/>
            <w:rtl w:val="0"/>
          </w:rPr>
          <w:t xml:space="preserve">Creative Commons Attribution 4.0 Generic License (CC BY 4.0)</w:t>
        </w:r>
      </w:hyperlink>
      <w:r w:rsidDel="00000000" w:rsidR="00000000" w:rsidRPr="00000000">
        <w:rPr>
          <w:rFonts w:ascii="Arial" w:cs="Arial" w:eastAsia="Arial" w:hAnsi="Arial"/>
          <w:b w:val="0"/>
          <w:color w:val="000000"/>
          <w:sz w:val="22"/>
          <w:szCs w:val="22"/>
          <w:rtl w:val="0"/>
        </w:rPr>
        <w:t xml:space="preserve"> or an equivalent license. This will permit all users of the publication to copy and redistribute the material in any medium or format and transform and build upon the material, including for any purpose (including commercial) without further permission or fees being required.</w:t>
      </w:r>
      <w:r w:rsidDel="00000000" w:rsidR="00000000" w:rsidRPr="00000000">
        <w:rPr>
          <w:rtl w:val="0"/>
        </w:rPr>
      </w:r>
    </w:p>
    <w:p w:rsidR="00000000" w:rsidDel="00000000" w:rsidP="00000000" w:rsidRDefault="00000000" w:rsidRPr="00000000">
      <w:pPr>
        <w:widowControl w:val="0"/>
        <w:numPr>
          <w:ilvl w:val="0"/>
          <w:numId w:val="1"/>
        </w:numPr>
        <w:spacing w:after="100" w:before="0" w:line="276" w:lineRule="auto"/>
        <w:ind w:left="720" w:hanging="360"/>
        <w:rPr/>
      </w:pPr>
      <w:r w:rsidDel="00000000" w:rsidR="00000000" w:rsidRPr="00000000">
        <w:rPr>
          <w:rFonts w:ascii="Merriweather Sans" w:cs="Merriweather Sans" w:eastAsia="Merriweather Sans" w:hAnsi="Merriweather Sans"/>
          <w:b w:val="0"/>
          <w:color w:val="453ccc"/>
          <w:sz w:val="24"/>
          <w:szCs w:val="24"/>
          <w:rtl w:val="0"/>
        </w:rPr>
        <w:t xml:space="preserve">[</w:t>
      </w:r>
      <w:r w:rsidDel="00000000" w:rsidR="00000000" w:rsidRPr="00000000">
        <w:rPr>
          <w:rFonts w:ascii="Merriweather Sans" w:cs="Merriweather Sans" w:eastAsia="Merriweather Sans" w:hAnsi="Merriweather Sans"/>
          <w:color w:val="453ccc"/>
          <w:sz w:val="24"/>
          <w:szCs w:val="24"/>
          <w:rtl w:val="0"/>
        </w:rPr>
        <w:t xml:space="preserve">O</w:t>
      </w:r>
      <w:r w:rsidDel="00000000" w:rsidR="00000000" w:rsidRPr="00000000">
        <w:rPr>
          <w:rFonts w:ascii="Merriweather Sans" w:cs="Merriweather Sans" w:eastAsia="Merriweather Sans" w:hAnsi="Merriweather Sans"/>
          <w:b w:val="0"/>
          <w:color w:val="453ccc"/>
          <w:sz w:val="24"/>
          <w:szCs w:val="24"/>
          <w:rtl w:val="0"/>
        </w:rPr>
        <w:t xml:space="preserve">rganization’s name]</w:t>
      </w:r>
      <w:r w:rsidDel="00000000" w:rsidR="00000000" w:rsidRPr="00000000">
        <w:rPr>
          <w:rFonts w:ascii="Arial" w:cs="Arial" w:eastAsia="Arial" w:hAnsi="Arial"/>
          <w:b w:val="0"/>
          <w:color w:val="000000"/>
          <w:sz w:val="22"/>
          <w:szCs w:val="22"/>
          <w:rtl w:val="0"/>
        </w:rPr>
        <w:t xml:space="preserve"> Will Pay Necessary Fees. The foundation would pay reasonable fees required by a publisher to effect publication on these terms.</w:t>
      </w:r>
      <w:r w:rsidDel="00000000" w:rsidR="00000000" w:rsidRPr="00000000">
        <w:rPr>
          <w:rtl w:val="0"/>
        </w:rPr>
      </w:r>
    </w:p>
    <w:p w:rsidR="00000000" w:rsidDel="00000000" w:rsidP="00000000" w:rsidRDefault="00000000" w:rsidRPr="00000000">
      <w:pPr>
        <w:widowControl w:val="0"/>
        <w:numPr>
          <w:ilvl w:val="0"/>
          <w:numId w:val="1"/>
        </w:numPr>
        <w:spacing w:after="100" w:before="0" w:line="276" w:lineRule="auto"/>
        <w:ind w:left="720" w:hanging="360"/>
        <w:rPr/>
      </w:pPr>
      <w:r w:rsidDel="00000000" w:rsidR="00000000" w:rsidRPr="00000000">
        <w:rPr>
          <w:rFonts w:ascii="Arial" w:cs="Arial" w:eastAsia="Arial" w:hAnsi="Arial"/>
          <w:b w:val="0"/>
          <w:color w:val="000000"/>
          <w:sz w:val="22"/>
          <w:szCs w:val="22"/>
          <w:rtl w:val="0"/>
        </w:rPr>
        <w:t xml:space="preserve">Publications Will Be Accessible and Open Immediately. All publications shall be available immediately upon their publication, without any embargo period. An embargo period is the period during which the publisher will require a subscription or the payment of a fee to gain access to the publication. We are, however, providing a transition period of up to two years from the effective date of the policy (or until (final effective date)). During the transition period, the foundation will allow publications in journals that provide up to a [length of term] embargo period.</w:t>
      </w:r>
      <w:r w:rsidDel="00000000" w:rsidR="00000000" w:rsidRPr="00000000">
        <w:rPr>
          <w:rtl w:val="0"/>
        </w:rPr>
      </w:r>
    </w:p>
    <w:p w:rsidR="00000000" w:rsidDel="00000000" w:rsidP="00000000" w:rsidRDefault="00000000" w:rsidRPr="00000000">
      <w:pPr>
        <w:widowControl w:val="0"/>
        <w:spacing w:after="100" w:before="0" w:line="276"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Merriweather Sans">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Arial" w:cs="Arial" w:eastAsia="Arial" w:hAnsi="Arial"/>
      <w:b w:val="1"/>
      <w:color w:val="000000"/>
      <w:sz w:val="48"/>
      <w:szCs w:val="48"/>
    </w:rPr>
  </w:style>
  <w:style w:type="paragraph" w:styleId="Heading2">
    <w:name w:val="heading 2"/>
    <w:basedOn w:val="Normal"/>
    <w:next w:val="Normal"/>
    <w:pPr>
      <w:keepNext w:val="1"/>
      <w:keepLines w:val="1"/>
      <w:spacing w:after="80" w:before="360" w:line="276" w:lineRule="auto"/>
    </w:pPr>
    <w:rPr>
      <w:rFonts w:ascii="Arial" w:cs="Arial" w:eastAsia="Arial" w:hAnsi="Arial"/>
      <w:b w:val="1"/>
      <w:color w:val="000000"/>
      <w:sz w:val="36"/>
      <w:szCs w:val="36"/>
    </w:rPr>
  </w:style>
  <w:style w:type="paragraph" w:styleId="Heading3">
    <w:name w:val="heading 3"/>
    <w:basedOn w:val="Normal"/>
    <w:next w:val="Normal"/>
    <w:pPr>
      <w:keepNext w:val="1"/>
      <w:keepLines w:val="1"/>
      <w:spacing w:after="80" w:before="280" w:line="276" w:lineRule="auto"/>
    </w:pPr>
    <w:rPr>
      <w:rFonts w:ascii="Arial" w:cs="Arial" w:eastAsia="Arial" w:hAnsi="Arial"/>
      <w:b w:val="1"/>
      <w:color w:val="000000"/>
      <w:sz w:val="28"/>
      <w:szCs w:val="28"/>
    </w:rPr>
  </w:style>
  <w:style w:type="paragraph" w:styleId="Heading4">
    <w:name w:val="heading 4"/>
    <w:basedOn w:val="Normal"/>
    <w:next w:val="Normal"/>
    <w:pPr>
      <w:keepNext w:val="1"/>
      <w:keepLines w:val="1"/>
      <w:spacing w:after="40" w:before="240" w:line="276" w:lineRule="auto"/>
    </w:pPr>
    <w:rPr>
      <w:rFonts w:ascii="Arial" w:cs="Arial" w:eastAsia="Arial" w:hAnsi="Arial"/>
      <w:b w:val="1"/>
      <w:color w:val="000000"/>
      <w:sz w:val="24"/>
      <w:szCs w:val="24"/>
    </w:rPr>
  </w:style>
  <w:style w:type="paragraph" w:styleId="Heading5">
    <w:name w:val="heading 5"/>
    <w:basedOn w:val="Normal"/>
    <w:next w:val="Normal"/>
    <w:pPr>
      <w:keepNext w:val="1"/>
      <w:keepLines w:val="1"/>
      <w:spacing w:after="40" w:before="220" w:line="276" w:lineRule="auto"/>
    </w:pPr>
    <w:rPr>
      <w:rFonts w:ascii="Arial" w:cs="Arial" w:eastAsia="Arial" w:hAnsi="Arial"/>
      <w:b w:val="1"/>
      <w:color w:val="000000"/>
      <w:sz w:val="22"/>
      <w:szCs w:val="22"/>
    </w:rPr>
  </w:style>
  <w:style w:type="paragraph" w:styleId="Heading6">
    <w:name w:val="heading 6"/>
    <w:basedOn w:val="Normal"/>
    <w:next w:val="Normal"/>
    <w:pPr>
      <w:keepNext w:val="1"/>
      <w:keepLines w:val="1"/>
      <w:spacing w:after="40" w:before="200" w:line="276" w:lineRule="auto"/>
    </w:pPr>
    <w:rPr>
      <w:rFonts w:ascii="Arial" w:cs="Arial" w:eastAsia="Arial" w:hAnsi="Arial"/>
      <w:b w:val="1"/>
      <w:color w:val="000000"/>
      <w:sz w:val="20"/>
      <w:szCs w:val="20"/>
    </w:rPr>
  </w:style>
  <w:style w:type="paragraph" w:styleId="Title">
    <w:name w:val="Title"/>
    <w:basedOn w:val="Normal"/>
    <w:next w:val="Normal"/>
    <w:pPr>
      <w:keepNext w:val="1"/>
      <w:keepLines w:val="1"/>
      <w:spacing w:after="120" w:before="480" w:line="276" w:lineRule="auto"/>
    </w:pPr>
    <w:rPr>
      <w:rFonts w:ascii="Arial" w:cs="Arial" w:eastAsia="Arial" w:hAnsi="Arial"/>
      <w:b w:val="1"/>
      <w:color w:val="000000"/>
      <w:sz w:val="72"/>
      <w:szCs w:val="72"/>
    </w:r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creativecommons.org/licenses/by/4.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s>
</file>