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Open IP - nothing claimed</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It is the policy of this site to respect others’ copyrights. If you see content you believe is infringing, please email us at [email contact].</w:t>
        <w:br w:type="textWrapping"/>
        <w:br w:type="textWrapping"/>
        <w:t xml:space="preserve">Please note that site software for our sites do not fall under this license or this copyright policy. We use open source software, and for more on these, you should visit the homepages for this software.</w:t>
        <w:br w:type="textWrapping"/>
        <w:br w:type="textWrapping"/>
        <w:t xml:space="preserve">Some content on this website is presented here as a result of copyright exceptions such as fair dealing, fair use, or others. This content is not covered under the site licence, and your use of this material may not come under the same exception.</w:t>
      </w:r>
      <w:r w:rsidDel="00000000" w:rsidR="00000000" w:rsidRPr="00000000">
        <w:rPr>
          <w:rtl w:val="0"/>
        </w:rPr>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0"/>
          <w:szCs w:val="20"/>
          <w:rtl w:val="0"/>
        </w:rPr>
        <w:t xml:space="preserve">Use of the names [Your Organization’s Name], organisation and site logos are not covered by this license.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